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934710">
        <w:rPr>
          <w:rFonts w:ascii="Times New Roman" w:hAnsi="Times New Roman"/>
          <w:i w:val="0"/>
        </w:rPr>
        <w:t xml:space="preserve"> </w:t>
      </w:r>
      <w:r w:rsidR="00127880">
        <w:rPr>
          <w:rFonts w:ascii="Times New Roman" w:hAnsi="Times New Roman"/>
          <w:i w:val="0"/>
        </w:rPr>
        <w:t>3-о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127880">
        <w:rPr>
          <w:b w:val="0"/>
          <w:sz w:val="28"/>
          <w:szCs w:val="28"/>
          <w:lang w:eastAsia="ru-RU"/>
        </w:rPr>
        <w:t>15</w:t>
      </w:r>
      <w:r w:rsidRPr="003637AF">
        <w:rPr>
          <w:b w:val="0"/>
          <w:sz w:val="28"/>
          <w:szCs w:val="28"/>
          <w:lang w:eastAsia="ru-RU"/>
        </w:rPr>
        <w:t>»</w:t>
      </w:r>
      <w:r w:rsidR="009C05A5">
        <w:rPr>
          <w:b w:val="0"/>
          <w:sz w:val="28"/>
          <w:szCs w:val="28"/>
          <w:lang w:eastAsia="ru-RU"/>
        </w:rPr>
        <w:t xml:space="preserve"> </w:t>
      </w:r>
      <w:r w:rsidR="00127880">
        <w:rPr>
          <w:b w:val="0"/>
          <w:sz w:val="28"/>
          <w:szCs w:val="28"/>
          <w:lang w:eastAsia="ru-RU"/>
        </w:rPr>
        <w:t>января</w:t>
      </w:r>
      <w:bookmarkStart w:id="0" w:name="_GoBack"/>
      <w:bookmarkEnd w:id="0"/>
      <w:r w:rsidR="00662C4C">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Pr="00E33533" w:rsidRDefault="00955E47" w:rsidP="00F933E0">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6C0AD6" w:rsidRPr="006C0AD6" w:rsidRDefault="006C0AD6" w:rsidP="00F933E0">
      <w:pPr>
        <w:tabs>
          <w:tab w:val="left" w:pos="142"/>
          <w:tab w:val="left" w:pos="284"/>
        </w:tabs>
        <w:suppressAutoHyphens/>
        <w:snapToGrid w:val="0"/>
        <w:jc w:val="both"/>
        <w:rPr>
          <w:sz w:val="28"/>
          <w:szCs w:val="28"/>
          <w:lang w:eastAsia="ar-SA"/>
        </w:rPr>
      </w:pPr>
      <w:r>
        <w:rPr>
          <w:sz w:val="28"/>
          <w:szCs w:val="28"/>
          <w:lang w:eastAsia="ar-SA"/>
        </w:rPr>
        <w:tab/>
      </w:r>
      <w:r>
        <w:rPr>
          <w:sz w:val="28"/>
          <w:szCs w:val="28"/>
          <w:lang w:eastAsia="ar-SA"/>
        </w:rPr>
        <w:tab/>
      </w:r>
      <w:r>
        <w:rPr>
          <w:sz w:val="28"/>
          <w:szCs w:val="28"/>
          <w:lang w:eastAsia="ar-SA"/>
        </w:rPr>
        <w:tab/>
        <w:t>1.1.</w:t>
      </w:r>
      <w:r>
        <w:rPr>
          <w:sz w:val="28"/>
          <w:szCs w:val="28"/>
          <w:lang w:eastAsia="ar-SA"/>
        </w:rPr>
        <w:tab/>
      </w:r>
      <w:r w:rsidRPr="006C0AD6">
        <w:rPr>
          <w:sz w:val="28"/>
          <w:szCs w:val="28"/>
          <w:lang w:eastAsia="ar-SA"/>
        </w:rPr>
        <w:t>В приложении №1 «Перечень и коды целевых статей расходов бюджета, применяемых при формировании и исполнении бюджета муниципального образования «Город Майкоп» после строки:</w:t>
      </w:r>
    </w:p>
    <w:p w:rsidR="006C0AD6" w:rsidRDefault="006C0AD6"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709"/>
        <w:gridCol w:w="456"/>
        <w:gridCol w:w="960"/>
        <w:gridCol w:w="640"/>
        <w:gridCol w:w="816"/>
        <w:gridCol w:w="3628"/>
      </w:tblGrid>
      <w:tr w:rsidR="007D27CC" w:rsidRPr="00A52D0D" w:rsidTr="007D27CC">
        <w:trPr>
          <w:trHeight w:val="416"/>
        </w:trPr>
        <w:tc>
          <w:tcPr>
            <w:tcW w:w="2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AD6" w:rsidRPr="00A52D0D" w:rsidRDefault="004113B5" w:rsidP="00F933E0">
            <w:r w:rsidRPr="004113B5">
              <w:t>Основное мероприятие «Обеспечение государственных гарантий для получения образования и социальной поддержки»</w:t>
            </w:r>
          </w:p>
        </w:tc>
        <w:tc>
          <w:tcPr>
            <w:tcW w:w="236" w:type="dxa"/>
            <w:tcBorders>
              <w:top w:val="single" w:sz="4" w:space="0" w:color="auto"/>
              <w:left w:val="nil"/>
              <w:bottom w:val="single" w:sz="4" w:space="0" w:color="auto"/>
              <w:right w:val="nil"/>
            </w:tcBorders>
            <w:shd w:val="clear" w:color="000000" w:fill="FFFFFF"/>
            <w:noWrap/>
            <w:vAlign w:val="center"/>
            <w:hideMark/>
          </w:tcPr>
          <w:p w:rsidR="006C0AD6" w:rsidRPr="00A52D0D" w:rsidRDefault="00516C84" w:rsidP="00F933E0">
            <w:pPr>
              <w:jc w:val="center"/>
            </w:pPr>
            <w:r>
              <w:t>15</w:t>
            </w:r>
          </w:p>
        </w:tc>
        <w:tc>
          <w:tcPr>
            <w:tcW w:w="960" w:type="dxa"/>
            <w:tcBorders>
              <w:top w:val="single" w:sz="4" w:space="0" w:color="auto"/>
              <w:left w:val="nil"/>
              <w:bottom w:val="single" w:sz="4" w:space="0" w:color="auto"/>
              <w:right w:val="nil"/>
            </w:tcBorders>
            <w:shd w:val="clear" w:color="000000" w:fill="FFFFFF"/>
            <w:noWrap/>
            <w:vAlign w:val="center"/>
            <w:hideMark/>
          </w:tcPr>
          <w:p w:rsidR="006C0AD6" w:rsidRPr="00A52D0D" w:rsidRDefault="004113B5" w:rsidP="00F933E0">
            <w:pPr>
              <w:jc w:val="center"/>
            </w:pPr>
            <w:r>
              <w:t>4</w:t>
            </w:r>
          </w:p>
        </w:tc>
        <w:tc>
          <w:tcPr>
            <w:tcW w:w="640" w:type="dxa"/>
            <w:tcBorders>
              <w:top w:val="single" w:sz="4" w:space="0" w:color="auto"/>
              <w:left w:val="nil"/>
              <w:bottom w:val="single" w:sz="4" w:space="0" w:color="auto"/>
              <w:right w:val="nil"/>
            </w:tcBorders>
            <w:shd w:val="clear" w:color="000000" w:fill="FFFFFF"/>
            <w:noWrap/>
            <w:vAlign w:val="center"/>
            <w:hideMark/>
          </w:tcPr>
          <w:p w:rsidR="006C0AD6" w:rsidRPr="004113B5" w:rsidRDefault="004113B5" w:rsidP="004113B5">
            <w:pPr>
              <w:jc w:val="center"/>
            </w:pPr>
            <w:r>
              <w:t>06</w:t>
            </w:r>
          </w:p>
        </w:tc>
        <w:tc>
          <w:tcPr>
            <w:tcW w:w="816" w:type="dxa"/>
            <w:tcBorders>
              <w:top w:val="single" w:sz="4" w:space="0" w:color="auto"/>
              <w:left w:val="nil"/>
              <w:bottom w:val="single" w:sz="4" w:space="0" w:color="auto"/>
              <w:right w:val="nil"/>
            </w:tcBorders>
            <w:shd w:val="clear" w:color="000000" w:fill="FFFFFF"/>
            <w:noWrap/>
            <w:vAlign w:val="center"/>
            <w:hideMark/>
          </w:tcPr>
          <w:p w:rsidR="006C0AD6" w:rsidRPr="00A52D0D" w:rsidRDefault="006C0AD6" w:rsidP="00F933E0">
            <w:pPr>
              <w:jc w:val="center"/>
            </w:pPr>
            <w:r w:rsidRPr="00A52D0D">
              <w:t>00000</w:t>
            </w:r>
          </w:p>
        </w:tc>
        <w:tc>
          <w:tcPr>
            <w:tcW w:w="37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C0AD6" w:rsidRPr="00A52D0D" w:rsidRDefault="004113B5" w:rsidP="00F933E0">
            <w:pPr>
              <w:jc w:val="center"/>
            </w:pPr>
            <w:r w:rsidRPr="004113B5">
              <w:t>По данной целевой статье отражаются расходы на реализацию основного мероприятия «Обеспечение государственных гарантий для получения образования и социальной поддержки»</w:t>
            </w:r>
          </w:p>
        </w:tc>
      </w:tr>
    </w:tbl>
    <w:p w:rsidR="006C0AD6" w:rsidRPr="004113B5" w:rsidRDefault="006C0AD6" w:rsidP="004113B5">
      <w:pPr>
        <w:tabs>
          <w:tab w:val="left" w:pos="142"/>
          <w:tab w:val="left" w:pos="284"/>
        </w:tabs>
        <w:suppressAutoHyphens/>
        <w:snapToGrid w:val="0"/>
        <w:jc w:val="both"/>
        <w:rPr>
          <w:sz w:val="28"/>
          <w:szCs w:val="28"/>
          <w:lang w:eastAsia="ar-SA"/>
        </w:rPr>
      </w:pPr>
      <w:r w:rsidRPr="004113B5">
        <w:rPr>
          <w:sz w:val="28"/>
          <w:szCs w:val="28"/>
          <w:lang w:eastAsia="ar-SA"/>
        </w:rPr>
        <w:t>добавить строку следующего содержания:</w:t>
      </w:r>
    </w:p>
    <w:p w:rsidR="006C0AD6" w:rsidRDefault="006C0AD6"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771"/>
        <w:gridCol w:w="456"/>
        <w:gridCol w:w="960"/>
        <w:gridCol w:w="640"/>
        <w:gridCol w:w="816"/>
        <w:gridCol w:w="3566"/>
      </w:tblGrid>
      <w:tr w:rsidR="006C0AD6" w:rsidRPr="00A52D0D" w:rsidTr="007D27CC">
        <w:trPr>
          <w:trHeight w:val="75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AD6" w:rsidRPr="00A52D0D" w:rsidRDefault="004113B5" w:rsidP="00F933E0">
            <w:r w:rsidRPr="004113B5">
              <w:t>Основное мероприятие «Поддержка социально ориентированных некоммерческих организаций»</w:t>
            </w:r>
          </w:p>
        </w:tc>
        <w:tc>
          <w:tcPr>
            <w:tcW w:w="274" w:type="dxa"/>
            <w:tcBorders>
              <w:top w:val="single" w:sz="4" w:space="0" w:color="auto"/>
              <w:left w:val="nil"/>
              <w:bottom w:val="single" w:sz="4" w:space="0" w:color="auto"/>
              <w:right w:val="nil"/>
            </w:tcBorders>
            <w:shd w:val="clear" w:color="auto" w:fill="auto"/>
            <w:noWrap/>
            <w:vAlign w:val="center"/>
            <w:hideMark/>
          </w:tcPr>
          <w:p w:rsidR="006C0AD6" w:rsidRPr="00A52D0D" w:rsidRDefault="00516C84" w:rsidP="00F933E0">
            <w:pPr>
              <w:jc w:val="center"/>
            </w:pPr>
            <w:r>
              <w:t>15</w:t>
            </w:r>
          </w:p>
        </w:tc>
        <w:tc>
          <w:tcPr>
            <w:tcW w:w="960" w:type="dxa"/>
            <w:tcBorders>
              <w:top w:val="single" w:sz="4" w:space="0" w:color="auto"/>
              <w:left w:val="nil"/>
              <w:bottom w:val="single" w:sz="4" w:space="0" w:color="auto"/>
              <w:right w:val="nil"/>
            </w:tcBorders>
            <w:shd w:val="clear" w:color="auto" w:fill="auto"/>
            <w:noWrap/>
            <w:vAlign w:val="center"/>
            <w:hideMark/>
          </w:tcPr>
          <w:p w:rsidR="006C0AD6" w:rsidRPr="00A52D0D" w:rsidRDefault="004113B5" w:rsidP="00F933E0">
            <w:pPr>
              <w:jc w:val="center"/>
            </w:pPr>
            <w:r>
              <w:t>4</w:t>
            </w:r>
          </w:p>
        </w:tc>
        <w:tc>
          <w:tcPr>
            <w:tcW w:w="640" w:type="dxa"/>
            <w:tcBorders>
              <w:top w:val="single" w:sz="4" w:space="0" w:color="auto"/>
              <w:left w:val="nil"/>
              <w:bottom w:val="single" w:sz="4" w:space="0" w:color="auto"/>
              <w:right w:val="nil"/>
            </w:tcBorders>
            <w:shd w:val="clear" w:color="auto" w:fill="auto"/>
            <w:noWrap/>
            <w:vAlign w:val="center"/>
            <w:hideMark/>
          </w:tcPr>
          <w:p w:rsidR="006C0AD6" w:rsidRPr="00A52D0D" w:rsidRDefault="004113B5" w:rsidP="00F933E0">
            <w:pPr>
              <w:jc w:val="center"/>
            </w:pPr>
            <w:r>
              <w:t>07</w:t>
            </w:r>
          </w:p>
        </w:tc>
        <w:tc>
          <w:tcPr>
            <w:tcW w:w="816" w:type="dxa"/>
            <w:tcBorders>
              <w:top w:val="single" w:sz="4" w:space="0" w:color="auto"/>
              <w:left w:val="nil"/>
              <w:bottom w:val="single" w:sz="4" w:space="0" w:color="auto"/>
              <w:right w:val="nil"/>
            </w:tcBorders>
            <w:shd w:val="clear" w:color="auto" w:fill="auto"/>
            <w:noWrap/>
            <w:vAlign w:val="center"/>
            <w:hideMark/>
          </w:tcPr>
          <w:p w:rsidR="006C0AD6" w:rsidRPr="00A52D0D" w:rsidRDefault="006C0AD6" w:rsidP="00F933E0">
            <w:pPr>
              <w:jc w:val="center"/>
            </w:pPr>
            <w:r w:rsidRPr="00A52D0D">
              <w:t>00000</w:t>
            </w:r>
          </w:p>
        </w:tc>
        <w:tc>
          <w:tcPr>
            <w:tcW w:w="3689" w:type="dxa"/>
            <w:tcBorders>
              <w:top w:val="single" w:sz="4" w:space="0" w:color="auto"/>
              <w:left w:val="single" w:sz="4" w:space="0" w:color="auto"/>
              <w:bottom w:val="single" w:sz="4" w:space="0" w:color="auto"/>
              <w:right w:val="single" w:sz="4" w:space="0" w:color="auto"/>
            </w:tcBorders>
            <w:shd w:val="clear" w:color="auto" w:fill="auto"/>
            <w:vAlign w:val="center"/>
          </w:tcPr>
          <w:p w:rsidR="006C0AD6" w:rsidRPr="00A52D0D" w:rsidRDefault="004113B5" w:rsidP="00F933E0">
            <w:pPr>
              <w:jc w:val="center"/>
            </w:pPr>
            <w:r w:rsidRPr="004113B5">
              <w:t xml:space="preserve">По данной целевой статье отражаются расходы на реализацию основного мероприятия «Поддержка социально ориентированных </w:t>
            </w:r>
            <w:r w:rsidRPr="004113B5">
              <w:lastRenderedPageBreak/>
              <w:t>некоммерческих организаций»</w:t>
            </w:r>
          </w:p>
        </w:tc>
      </w:tr>
    </w:tbl>
    <w:p w:rsidR="00516C84" w:rsidRPr="006C0AD6" w:rsidRDefault="006C0AD6" w:rsidP="004113B5">
      <w:pPr>
        <w:tabs>
          <w:tab w:val="left" w:pos="0"/>
          <w:tab w:val="left" w:pos="284"/>
        </w:tabs>
        <w:suppressAutoHyphens/>
        <w:snapToGrid w:val="0"/>
        <w:jc w:val="right"/>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w:t>
      </w:r>
      <w:r w:rsidR="004113B5">
        <w:rPr>
          <w:sz w:val="28"/>
          <w:szCs w:val="28"/>
          <w:lang w:eastAsia="ar-SA"/>
        </w:rPr>
        <w:t>.</w:t>
      </w:r>
    </w:p>
    <w:p w:rsidR="00D80A56" w:rsidRPr="006C0AD6" w:rsidRDefault="006C0AD6" w:rsidP="00F933E0">
      <w:pPr>
        <w:tabs>
          <w:tab w:val="left" w:pos="0"/>
          <w:tab w:val="left" w:pos="284"/>
        </w:tabs>
        <w:suppressAutoHyphens/>
        <w:snapToGrid w:val="0"/>
        <w:jc w:val="both"/>
        <w:rPr>
          <w:sz w:val="28"/>
          <w:szCs w:val="28"/>
          <w:lang w:eastAsia="ar-SA"/>
        </w:rPr>
      </w:pPr>
      <w:r>
        <w:rPr>
          <w:sz w:val="28"/>
          <w:szCs w:val="28"/>
          <w:lang w:eastAsia="ar-SA"/>
        </w:rPr>
        <w:tab/>
      </w:r>
      <w:r>
        <w:rPr>
          <w:sz w:val="28"/>
          <w:szCs w:val="28"/>
          <w:lang w:eastAsia="ar-SA"/>
        </w:rPr>
        <w:tab/>
        <w:t>1.2.</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8E25BD" w:rsidRDefault="004D7510"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66"/>
        <w:gridCol w:w="3260"/>
        <w:gridCol w:w="4961"/>
      </w:tblGrid>
      <w:tr w:rsidR="004113B5" w:rsidTr="007C094F">
        <w:trPr>
          <w:trHeight w:val="416"/>
        </w:trPr>
        <w:tc>
          <w:tcPr>
            <w:tcW w:w="866" w:type="dxa"/>
            <w:tcBorders>
              <w:top w:val="single" w:sz="4" w:space="0" w:color="auto"/>
              <w:left w:val="single" w:sz="4" w:space="0" w:color="auto"/>
              <w:bottom w:val="single" w:sz="4" w:space="0" w:color="auto"/>
              <w:right w:val="single" w:sz="4" w:space="0" w:color="auto"/>
            </w:tcBorders>
            <w:shd w:val="clear" w:color="000000" w:fill="FFFFFF"/>
            <w:noWrap/>
          </w:tcPr>
          <w:p w:rsidR="004113B5" w:rsidRPr="00662DAD" w:rsidRDefault="004113B5" w:rsidP="004113B5">
            <w:r>
              <w:t>03620</w:t>
            </w:r>
          </w:p>
        </w:tc>
        <w:tc>
          <w:tcPr>
            <w:tcW w:w="3260" w:type="dxa"/>
            <w:tcBorders>
              <w:top w:val="single" w:sz="4" w:space="0" w:color="auto"/>
              <w:left w:val="nil"/>
              <w:bottom w:val="single" w:sz="4" w:space="0" w:color="auto"/>
              <w:right w:val="single" w:sz="4" w:space="0" w:color="auto"/>
            </w:tcBorders>
            <w:shd w:val="clear" w:color="auto" w:fill="auto"/>
            <w:vAlign w:val="center"/>
          </w:tcPr>
          <w:p w:rsidR="004113B5" w:rsidRDefault="004113B5" w:rsidP="004113B5">
            <w:r w:rsidRPr="009B16DA">
              <w:t>Расходы на реализацию мероприятий, связанных с оказанием услуг по созданию системы организаций (</w:t>
            </w:r>
            <w:proofErr w:type="spellStart"/>
            <w:r w:rsidRPr="009B16DA">
              <w:t>стажировочных</w:t>
            </w:r>
            <w:proofErr w:type="spellEnd"/>
            <w:r w:rsidRPr="009B16DA">
              <w:t xml:space="preserve"> площадок) «Детский сад - маршруты развития», выполняющих организационно-методическое сопровождение деятельности организаций, реализующих образовательные программы дошкольного образования, включая обновление инфраструктуры </w:t>
            </w:r>
            <w:proofErr w:type="spellStart"/>
            <w:r w:rsidRPr="009B16DA">
              <w:t>стажировочных</w:t>
            </w:r>
            <w:proofErr w:type="spellEnd"/>
            <w:r w:rsidRPr="009B16DA">
              <w:t xml:space="preserve"> площадок.</w:t>
            </w:r>
          </w:p>
        </w:tc>
        <w:tc>
          <w:tcPr>
            <w:tcW w:w="4961" w:type="dxa"/>
            <w:tcBorders>
              <w:top w:val="single" w:sz="4" w:space="0" w:color="auto"/>
              <w:left w:val="nil"/>
              <w:bottom w:val="single" w:sz="4" w:space="0" w:color="auto"/>
              <w:right w:val="single" w:sz="4" w:space="0" w:color="auto"/>
            </w:tcBorders>
            <w:shd w:val="clear" w:color="auto" w:fill="auto"/>
            <w:vAlign w:val="center"/>
          </w:tcPr>
          <w:p w:rsidR="004113B5" w:rsidRDefault="004113B5" w:rsidP="004113B5">
            <w:pPr>
              <w:jc w:val="center"/>
            </w:pPr>
            <w:r w:rsidRPr="009B16DA">
              <w:t>По данному направлению расходов отражаются расходы в рамках основного мероприятия «Предоставление качественного и доступного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реализацию мероприятий, связанных с оказанием услуг по созданию системы организаций (</w:t>
            </w:r>
            <w:proofErr w:type="spellStart"/>
            <w:r w:rsidRPr="009B16DA">
              <w:t>стажировочных</w:t>
            </w:r>
            <w:proofErr w:type="spellEnd"/>
            <w:r w:rsidRPr="009B16DA">
              <w:t xml:space="preserve"> площадок) «Детский сад - маршруты развития», выполняющих организационно-методическое сопровождение деятельности организаций, реализующих образовательные программы дошкольного образования, включая обновление инфраструктуры </w:t>
            </w:r>
            <w:proofErr w:type="spellStart"/>
            <w:r w:rsidRPr="009B16DA">
              <w:t>стажировочных</w:t>
            </w:r>
            <w:proofErr w:type="spellEnd"/>
            <w:r w:rsidRPr="009B16DA">
              <w:t xml:space="preserve"> площадок</w:t>
            </w:r>
          </w:p>
        </w:tc>
      </w:tr>
    </w:tbl>
    <w:p w:rsidR="0007520C" w:rsidRDefault="0007520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D80A56" w:rsidP="00F933E0">
      <w:pPr>
        <w:tabs>
          <w:tab w:val="left" w:pos="142"/>
          <w:tab w:val="left" w:pos="284"/>
        </w:tabs>
        <w:suppressAutoHyphens/>
        <w:snapToGrid w:val="0"/>
        <w:jc w:val="both"/>
        <w:rPr>
          <w:sz w:val="28"/>
          <w:szCs w:val="28"/>
          <w:lang w:eastAsia="ar-SA"/>
        </w:rPr>
      </w:pPr>
      <w:r>
        <w:rPr>
          <w:sz w:val="28"/>
          <w:szCs w:val="28"/>
          <w:lang w:eastAsia="ar-SA"/>
        </w:rPr>
        <w:t>добавить строк</w:t>
      </w:r>
      <w:r w:rsidR="004113B5">
        <w:rPr>
          <w:sz w:val="28"/>
          <w:szCs w:val="28"/>
          <w:lang w:eastAsia="ar-SA"/>
        </w:rPr>
        <w:t>у</w:t>
      </w:r>
      <w:r w:rsidR="004D7510" w:rsidRPr="009501C3">
        <w:rPr>
          <w:sz w:val="28"/>
          <w:szCs w:val="28"/>
          <w:lang w:eastAsia="ar-SA"/>
        </w:rPr>
        <w:t>:</w:t>
      </w:r>
    </w:p>
    <w:p w:rsidR="004D7510" w:rsidRDefault="004D7510"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4E613C" w:rsidRPr="00735EF7" w:rsidTr="00F933E0">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9C05A5" w:rsidRPr="00662DAD" w:rsidRDefault="009E1456" w:rsidP="004113B5">
            <w:r>
              <w:t>03</w:t>
            </w:r>
            <w:r w:rsidR="00516C84">
              <w:t>6</w:t>
            </w:r>
            <w:r w:rsidR="004113B5">
              <w:t>30</w:t>
            </w:r>
          </w:p>
        </w:tc>
        <w:tc>
          <w:tcPr>
            <w:tcW w:w="3260" w:type="dxa"/>
            <w:tcBorders>
              <w:top w:val="single" w:sz="4" w:space="0" w:color="auto"/>
              <w:left w:val="nil"/>
              <w:bottom w:val="single" w:sz="4" w:space="0" w:color="auto"/>
              <w:right w:val="single" w:sz="4" w:space="0" w:color="auto"/>
            </w:tcBorders>
            <w:shd w:val="clear" w:color="auto" w:fill="auto"/>
            <w:vAlign w:val="center"/>
          </w:tcPr>
          <w:p w:rsidR="004E613C" w:rsidRDefault="004113B5" w:rsidP="00F933E0">
            <w:r w:rsidRPr="004113B5">
              <w:t>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обучающихся</w:t>
            </w:r>
          </w:p>
        </w:tc>
        <w:tc>
          <w:tcPr>
            <w:tcW w:w="4961" w:type="dxa"/>
            <w:tcBorders>
              <w:top w:val="single" w:sz="4" w:space="0" w:color="auto"/>
              <w:left w:val="nil"/>
              <w:bottom w:val="single" w:sz="4" w:space="0" w:color="auto"/>
              <w:right w:val="single" w:sz="4" w:space="0" w:color="auto"/>
            </w:tcBorders>
            <w:shd w:val="clear" w:color="auto" w:fill="auto"/>
            <w:vAlign w:val="center"/>
          </w:tcPr>
          <w:p w:rsidR="009C05A5" w:rsidRDefault="004113B5" w:rsidP="00F933E0">
            <w:pPr>
              <w:jc w:val="center"/>
            </w:pPr>
            <w:r w:rsidRPr="004113B5">
              <w:t>По данному направлению расходов отражаются расходы в рамках основного мероприятия «Поддержка социально ориентированных некоммерческих организаций»» подпрограммы «Обеспечение и совершенствование управления системой образования и прочие мероприятия в области образования» муниципальной программы «Развитие системы образования муниципального образования «Город Майкоп» на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обучающихся</w:t>
            </w:r>
          </w:p>
        </w:tc>
      </w:tr>
    </w:tbl>
    <w:p w:rsidR="0045625C" w:rsidRDefault="00F0410D" w:rsidP="004113B5">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4113B5">
        <w:rPr>
          <w:sz w:val="28"/>
          <w:szCs w:val="28"/>
          <w:lang w:eastAsia="ar-SA"/>
        </w:rPr>
        <w:t>.</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 xml:space="preserve">Об утверждении перечня и кодов целевых </w:t>
      </w:r>
      <w:r w:rsidR="00BB5F4B" w:rsidRPr="00013725">
        <w:rPr>
          <w:sz w:val="28"/>
          <w:szCs w:val="28"/>
        </w:rPr>
        <w:lastRenderedPageBreak/>
        <w:t>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8C4A70" w:rsidRPr="00E61782" w:rsidRDefault="0083614D" w:rsidP="00F933E0">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A21E69">
        <w:rPr>
          <w:b w:val="0"/>
          <w:sz w:val="28"/>
          <w:szCs w:val="28"/>
        </w:rPr>
        <w:tab/>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87136A">
      <w:pgSz w:w="11906" w:h="16838"/>
      <w:pgMar w:top="709" w:right="1134"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585D"/>
    <w:rsid w:val="00187EF5"/>
    <w:rsid w:val="0019077D"/>
    <w:rsid w:val="00191568"/>
    <w:rsid w:val="001A15F1"/>
    <w:rsid w:val="001A258F"/>
    <w:rsid w:val="001A3EE0"/>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1DCA"/>
    <w:rsid w:val="001E64C4"/>
    <w:rsid w:val="001E6855"/>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5625C"/>
    <w:rsid w:val="004604CA"/>
    <w:rsid w:val="00460AD9"/>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7CC"/>
    <w:rsid w:val="007D2AB8"/>
    <w:rsid w:val="007D3F75"/>
    <w:rsid w:val="007D6446"/>
    <w:rsid w:val="007D7D5B"/>
    <w:rsid w:val="007E02B8"/>
    <w:rsid w:val="007E3E9F"/>
    <w:rsid w:val="007F22BD"/>
    <w:rsid w:val="007F2A16"/>
    <w:rsid w:val="007F3584"/>
    <w:rsid w:val="00800D2E"/>
    <w:rsid w:val="008055BC"/>
    <w:rsid w:val="00810534"/>
    <w:rsid w:val="00812EFF"/>
    <w:rsid w:val="00813590"/>
    <w:rsid w:val="00814251"/>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1D95"/>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85178"/>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1BBC"/>
    <w:rsid w:val="00F846FF"/>
    <w:rsid w:val="00F85F83"/>
    <w:rsid w:val="00F86ABE"/>
    <w:rsid w:val="00F933E0"/>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7ED4C-D25D-4056-ABF7-4C8EC221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7243</TotalTime>
  <Pages>3</Pages>
  <Words>851</Words>
  <Characters>4854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733</cp:revision>
  <cp:lastPrinted>2025-01-15T09:42:00Z</cp:lastPrinted>
  <dcterms:created xsi:type="dcterms:W3CDTF">2015-12-17T11:19:00Z</dcterms:created>
  <dcterms:modified xsi:type="dcterms:W3CDTF">2025-01-15T09:48:00Z</dcterms:modified>
</cp:coreProperties>
</file>